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C4" w:rsidRDefault="00E717C4" w:rsidP="00E717C4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="Times New Roman"/>
          <w:szCs w:val="24"/>
        </w:rPr>
      </w:pPr>
      <w:bookmarkStart w:id="0" w:name="_GoBack"/>
      <w:r>
        <w:rPr>
          <w:rFonts w:eastAsia="CIDFont+F1" w:cs="Times New Roman"/>
          <w:szCs w:val="24"/>
        </w:rPr>
        <w:t>MATERIALS RESEARCH SOCIETY</w:t>
      </w:r>
    </w:p>
    <w:bookmarkEnd w:id="0"/>
    <w:p w:rsid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>SESSION QN03.05: Photonic Properties and Devices I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 xml:space="preserve">Session Chairs: Deep Jariwala and </w:t>
      </w:r>
      <w:proofErr w:type="spellStart"/>
      <w:r w:rsidRPr="00E717C4">
        <w:rPr>
          <w:rFonts w:eastAsia="CIDFont+F1" w:cs="Times New Roman"/>
          <w:szCs w:val="24"/>
        </w:rPr>
        <w:t>SungWoo</w:t>
      </w:r>
      <w:proofErr w:type="spellEnd"/>
      <w:r w:rsidRPr="00E717C4">
        <w:rPr>
          <w:rFonts w:eastAsia="CIDFont+F1" w:cs="Times New Roman"/>
          <w:szCs w:val="24"/>
        </w:rPr>
        <w:t xml:space="preserve"> Nam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>Tuesday Afternoon, April 23, 2019</w:t>
      </w:r>
    </w:p>
    <w:p w:rsid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>PCC North, 100 Level, Room 129 A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4"/>
        </w:rPr>
      </w:pPr>
      <w:r w:rsidRPr="00E717C4">
        <w:rPr>
          <w:rFonts w:eastAsia="CIDFont+F2" w:cs="Times New Roman"/>
          <w:szCs w:val="24"/>
        </w:rPr>
        <w:t>1:30 PM QN03.05.01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4"/>
        </w:rPr>
      </w:pP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2" w:cs="Times New Roman"/>
          <w:szCs w:val="24"/>
        </w:rPr>
        <w:t xml:space="preserve">Enhancement and Control of Circularly Polarized Emission in Monolayer Heterogeneous WS2 with a </w:t>
      </w:r>
      <w:proofErr w:type="spellStart"/>
      <w:r w:rsidRPr="00E717C4">
        <w:rPr>
          <w:rFonts w:eastAsia="CIDFont+F2" w:cs="Times New Roman"/>
          <w:szCs w:val="24"/>
        </w:rPr>
        <w:t>Plasmonic</w:t>
      </w:r>
      <w:proofErr w:type="spellEnd"/>
      <w:r w:rsidRPr="00E717C4">
        <w:rPr>
          <w:rFonts w:eastAsia="CIDFont+F2" w:cs="Times New Roman"/>
          <w:szCs w:val="24"/>
        </w:rPr>
        <w:t xml:space="preserve"> Chiral </w:t>
      </w:r>
      <w:proofErr w:type="spellStart"/>
      <w:r w:rsidRPr="00E717C4">
        <w:rPr>
          <w:rFonts w:eastAsia="CIDFont+F2" w:cs="Times New Roman"/>
          <w:szCs w:val="24"/>
        </w:rPr>
        <w:t>Metasurface</w:t>
      </w:r>
      <w:proofErr w:type="spellEnd"/>
      <w:r w:rsidRPr="00E717C4">
        <w:rPr>
          <w:rFonts w:eastAsia="CIDFont+F2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Wei-Hsiang Lin1, Pin </w:t>
      </w:r>
      <w:proofErr w:type="spellStart"/>
      <w:r w:rsidRPr="00E717C4">
        <w:rPr>
          <w:rFonts w:eastAsia="CIDFont+F1" w:cs="Times New Roman"/>
          <w:szCs w:val="24"/>
        </w:rPr>
        <w:t>Chieh</w:t>
      </w:r>
      <w:proofErr w:type="spellEnd"/>
      <w:r w:rsidRPr="00E717C4">
        <w:rPr>
          <w:rFonts w:eastAsia="CIDFont+F1" w:cs="Times New Roman"/>
          <w:szCs w:val="24"/>
        </w:rPr>
        <w:t xml:space="preserve"> Wu1,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>George. R. Rossman</w:t>
      </w:r>
      <w:r w:rsidRPr="00E717C4">
        <w:rPr>
          <w:rFonts w:eastAsia="CIDFont+F1" w:cs="Times New Roman"/>
          <w:szCs w:val="24"/>
          <w:vertAlign w:val="superscript"/>
        </w:rPr>
        <w:t>3</w:t>
      </w:r>
      <w:r w:rsidRPr="00E717C4">
        <w:rPr>
          <w:rFonts w:eastAsia="CIDFont+F1" w:cs="Times New Roman"/>
          <w:szCs w:val="24"/>
        </w:rPr>
        <w:t xml:space="preserve">, </w:t>
      </w:r>
      <w:proofErr w:type="spellStart"/>
      <w:r w:rsidRPr="00E717C4">
        <w:rPr>
          <w:rFonts w:eastAsia="CIDFont+F1" w:cs="Times New Roman"/>
          <w:szCs w:val="24"/>
        </w:rPr>
        <w:t>Nai</w:t>
      </w:r>
      <w:proofErr w:type="spellEnd"/>
      <w:r w:rsidRPr="00E717C4">
        <w:rPr>
          <w:rFonts w:eastAsia="CIDFont+F1" w:cs="Times New Roman"/>
          <w:szCs w:val="24"/>
        </w:rPr>
        <w:t>-Chang Yeh</w:t>
      </w:r>
      <w:r w:rsidRPr="00E717C4">
        <w:rPr>
          <w:rFonts w:eastAsia="CIDFont+F1" w:cs="Times New Roman"/>
          <w:szCs w:val="24"/>
          <w:vertAlign w:val="superscript"/>
        </w:rPr>
        <w:t>2</w:t>
      </w:r>
      <w:r w:rsidRPr="00E717C4">
        <w:rPr>
          <w:rFonts w:eastAsia="CIDFont+F1" w:cs="Times New Roman"/>
          <w:szCs w:val="24"/>
        </w:rPr>
        <w:t xml:space="preserve"> and Harry Atwater</w:t>
      </w:r>
      <w:r w:rsidRPr="00E717C4">
        <w:rPr>
          <w:rFonts w:eastAsia="CIDFont+F1" w:cs="Times New Roman"/>
          <w:szCs w:val="24"/>
          <w:vertAlign w:val="superscript"/>
        </w:rPr>
        <w:t>1</w:t>
      </w:r>
      <w:r w:rsidRPr="00E717C4">
        <w:rPr>
          <w:rFonts w:eastAsia="CIDFont+F1" w:cs="Times New Roman"/>
          <w:szCs w:val="24"/>
        </w:rPr>
        <w:t xml:space="preserve">; </w:t>
      </w:r>
      <w:r w:rsidRPr="00E717C4">
        <w:rPr>
          <w:rFonts w:eastAsia="CIDFont+F1" w:cs="Times New Roman"/>
          <w:szCs w:val="24"/>
          <w:vertAlign w:val="superscript"/>
        </w:rPr>
        <w:t>1</w:t>
      </w:r>
      <w:r w:rsidRPr="00E717C4">
        <w:rPr>
          <w:rFonts w:eastAsia="CIDFont+F1" w:cs="Times New Roman"/>
          <w:szCs w:val="24"/>
        </w:rPr>
        <w:t xml:space="preserve">Department of Applied Physics, California Institute of Technology, Pasadena, California, United States; </w:t>
      </w:r>
      <w:r w:rsidRPr="00E717C4">
        <w:rPr>
          <w:rFonts w:eastAsia="CIDFont+F1" w:cs="Times New Roman"/>
          <w:szCs w:val="24"/>
          <w:vertAlign w:val="superscript"/>
        </w:rPr>
        <w:t>2</w:t>
      </w:r>
      <w:r w:rsidRPr="00E717C4">
        <w:rPr>
          <w:rFonts w:eastAsia="CIDFont+F1" w:cs="Times New Roman"/>
          <w:szCs w:val="24"/>
        </w:rPr>
        <w:t>Department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 xml:space="preserve">of Physics, California Institute of Technology, Pasadena, California, United States; </w:t>
      </w:r>
      <w:r w:rsidRPr="00E717C4">
        <w:rPr>
          <w:rFonts w:eastAsia="CIDFont+F1" w:cs="Times New Roman"/>
          <w:szCs w:val="24"/>
          <w:vertAlign w:val="superscript"/>
        </w:rPr>
        <w:t>3</w:t>
      </w:r>
      <w:r w:rsidRPr="00E717C4">
        <w:rPr>
          <w:rFonts w:eastAsia="CIDFont+F1" w:cs="Times New Roman"/>
          <w:szCs w:val="24"/>
        </w:rPr>
        <w:t>Division of Geological and Planetary Science, California Institute of Technology, Pasadena,</w:t>
      </w:r>
    </w:p>
    <w:p w:rsid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>California, United States.</w:t>
      </w: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717C4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  <w:r w:rsidRPr="00E717C4">
        <w:rPr>
          <w:rFonts w:eastAsia="CIDFont+F1" w:cs="Times New Roman"/>
          <w:szCs w:val="24"/>
        </w:rPr>
        <w:t xml:space="preserve">Controlling the circular polarization of light is a key aspect for the development of functional </w:t>
      </w:r>
      <w:proofErr w:type="spellStart"/>
      <w:r w:rsidRPr="00E717C4">
        <w:rPr>
          <w:rFonts w:eastAsia="CIDFont+F1" w:cs="Times New Roman"/>
          <w:szCs w:val="24"/>
        </w:rPr>
        <w:t>nanophotonics</w:t>
      </w:r>
      <w:proofErr w:type="spellEnd"/>
      <w:r w:rsidRPr="00E717C4">
        <w:rPr>
          <w:rFonts w:eastAsia="CIDFont+F1" w:cs="Times New Roman"/>
          <w:szCs w:val="24"/>
        </w:rPr>
        <w:t xml:space="preserve"> for emerging applications. Monolayer transition metal</w:t>
      </w:r>
      <w:r>
        <w:rPr>
          <w:rFonts w:eastAsia="CIDFont+F1" w:cs="Times New Roman"/>
          <w:szCs w:val="24"/>
        </w:rPr>
        <w:t xml:space="preserve"> </w:t>
      </w:r>
      <w:proofErr w:type="spellStart"/>
      <w:r w:rsidRPr="00E717C4">
        <w:rPr>
          <w:rFonts w:eastAsia="CIDFont+F1" w:cs="Times New Roman"/>
          <w:szCs w:val="24"/>
        </w:rPr>
        <w:t>dichalcogenides</w:t>
      </w:r>
      <w:proofErr w:type="spellEnd"/>
      <w:r w:rsidRPr="00E717C4">
        <w:rPr>
          <w:rFonts w:eastAsia="CIDFont+F1" w:cs="Times New Roman"/>
          <w:szCs w:val="24"/>
        </w:rPr>
        <w:t xml:space="preserve"> (TMDCs) are excellent candidates for spintronic, </w:t>
      </w:r>
      <w:proofErr w:type="spellStart"/>
      <w:r w:rsidRPr="00E717C4">
        <w:rPr>
          <w:rFonts w:eastAsia="CIDFont+F1" w:cs="Times New Roman"/>
          <w:szCs w:val="24"/>
        </w:rPr>
        <w:t>valleytronic</w:t>
      </w:r>
      <w:proofErr w:type="spellEnd"/>
      <w:r w:rsidRPr="00E717C4">
        <w:rPr>
          <w:rFonts w:eastAsia="CIDFont+F1" w:cs="Times New Roman"/>
          <w:szCs w:val="24"/>
        </w:rPr>
        <w:t xml:space="preserve"> and optoelectronic devices because the two inequivalent valleys in the Brillouin zone can give rise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to valley-polarized photoluminescence (PL) under excitation with circular polarized light (CPL). However, the atomic monolayer thickness is a significant challenge for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WS2 photoluminescence emission due to its weak light-matter interaction. We investigated the feasibility of enhancing the light-matter interaction in monolayer 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 xml:space="preserve"> by means of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the </w:t>
      </w:r>
      <w:proofErr w:type="spellStart"/>
      <w:r w:rsidRPr="00E717C4">
        <w:rPr>
          <w:rFonts w:eastAsia="CIDFont+F1" w:cs="Times New Roman"/>
          <w:szCs w:val="24"/>
        </w:rPr>
        <w:t>exciton-plasmon</w:t>
      </w:r>
      <w:proofErr w:type="spellEnd"/>
      <w:r w:rsidRPr="00E717C4">
        <w:rPr>
          <w:rFonts w:eastAsia="CIDFont+F1" w:cs="Times New Roman"/>
          <w:szCs w:val="24"/>
        </w:rPr>
        <w:t xml:space="preserve"> interaction with spin-orbit coupling of light. This objective was achieved by designing and fabricating </w:t>
      </w:r>
      <w:proofErr w:type="spellStart"/>
      <w:r w:rsidRPr="00E717C4">
        <w:rPr>
          <w:rFonts w:eastAsia="CIDFont+F1" w:cs="Times New Roman"/>
          <w:szCs w:val="24"/>
        </w:rPr>
        <w:t>plasmonic</w:t>
      </w:r>
      <w:proofErr w:type="spellEnd"/>
      <w:r w:rsidRPr="00E717C4">
        <w:rPr>
          <w:rFonts w:eastAsia="CIDFont+F1" w:cs="Times New Roman"/>
          <w:szCs w:val="24"/>
        </w:rPr>
        <w:t xml:space="preserve"> spiral rings with subwavelength dimensions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on a hybrid substrate for 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>, and by synthesizing high-quality 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>. Specifically, we developed controlled growth of heterogeneous domains in CVD-grown monolayer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 xml:space="preserve"> single crystal on SiO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>/Si substrate using tungsten oxide and sulfur precursors at T=</w:t>
      </w:r>
      <w:proofErr w:type="gramStart"/>
      <w:r w:rsidRPr="00E717C4">
        <w:rPr>
          <w:rFonts w:eastAsia="CIDFont+F1" w:cs="Times New Roman"/>
          <w:szCs w:val="24"/>
        </w:rPr>
        <w:t>850 degree</w:t>
      </w:r>
      <w:proofErr w:type="gramEnd"/>
      <w:r w:rsidRPr="00E717C4">
        <w:rPr>
          <w:rFonts w:eastAsia="CIDFont+F1" w:cs="Times New Roman"/>
          <w:szCs w:val="24"/>
        </w:rPr>
        <w:t xml:space="preserve"> C. Spatially resolved PL, Raman, X-ray photoelectron spectroscopy and Kevin</w:t>
      </w:r>
    </w:p>
    <w:p w:rsidR="000C7741" w:rsidRPr="00E717C4" w:rsidRDefault="00E717C4" w:rsidP="00E717C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17C4">
        <w:rPr>
          <w:rFonts w:eastAsia="CIDFont+F1" w:cs="Times New Roman"/>
          <w:szCs w:val="24"/>
        </w:rPr>
        <w:t xml:space="preserve">probe force microscopy images revealed the formation of </w:t>
      </w:r>
      <w:proofErr w:type="spellStart"/>
      <w:r w:rsidRPr="00E717C4">
        <w:rPr>
          <w:rFonts w:eastAsia="CIDFont+F1" w:cs="Times New Roman"/>
          <w:szCs w:val="24"/>
        </w:rPr>
        <w:t>homojunctions</w:t>
      </w:r>
      <w:proofErr w:type="spellEnd"/>
      <w:r w:rsidRPr="00E717C4">
        <w:rPr>
          <w:rFonts w:eastAsia="CIDFont+F1" w:cs="Times New Roman"/>
          <w:szCs w:val="24"/>
        </w:rPr>
        <w:t xml:space="preserve"> in these single crystals which imply a direct correlation between the chemical stoichiometry and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optoelectronic </w:t>
      </w:r>
      <w:proofErr w:type="spellStart"/>
      <w:r w:rsidRPr="00E717C4">
        <w:rPr>
          <w:rFonts w:eastAsia="CIDFont+F1" w:cs="Times New Roman"/>
          <w:szCs w:val="24"/>
        </w:rPr>
        <w:t>heterostructure</w:t>
      </w:r>
      <w:proofErr w:type="spellEnd"/>
      <w:r w:rsidRPr="00E717C4">
        <w:rPr>
          <w:rFonts w:eastAsia="CIDFont+F1" w:cs="Times New Roman"/>
          <w:szCs w:val="24"/>
        </w:rPr>
        <w:t xml:space="preserve">. The WS2 were integrated with a </w:t>
      </w:r>
      <w:proofErr w:type="spellStart"/>
      <w:r w:rsidRPr="00E717C4">
        <w:rPr>
          <w:rFonts w:eastAsia="CIDFont+F1" w:cs="Times New Roman"/>
          <w:szCs w:val="24"/>
        </w:rPr>
        <w:t>plasmonic</w:t>
      </w:r>
      <w:proofErr w:type="spellEnd"/>
      <w:r w:rsidRPr="00E717C4">
        <w:rPr>
          <w:rFonts w:eastAsia="CIDFont+F1" w:cs="Times New Roman"/>
          <w:szCs w:val="24"/>
        </w:rPr>
        <w:t xml:space="preserve"> spiral ring </w:t>
      </w:r>
      <w:proofErr w:type="spellStart"/>
      <w:r w:rsidRPr="00E717C4">
        <w:rPr>
          <w:rFonts w:eastAsia="CIDFont+F1" w:cs="Times New Roman"/>
          <w:szCs w:val="24"/>
        </w:rPr>
        <w:t>metasurface</w:t>
      </w:r>
      <w:proofErr w:type="spellEnd"/>
      <w:r w:rsidRPr="00E717C4">
        <w:rPr>
          <w:rFonts w:eastAsia="CIDFont+F1" w:cs="Times New Roman"/>
          <w:szCs w:val="24"/>
        </w:rPr>
        <w:t xml:space="preserve"> with subwavelength sized elements, designed to enhance the light-matter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interaction. Our </w:t>
      </w:r>
      <w:proofErr w:type="spellStart"/>
      <w:r w:rsidRPr="00E717C4">
        <w:rPr>
          <w:rFonts w:eastAsia="CIDFont+F1" w:cs="Times New Roman"/>
          <w:szCs w:val="24"/>
        </w:rPr>
        <w:t>plasmonic</w:t>
      </w:r>
      <w:proofErr w:type="spellEnd"/>
      <w:r w:rsidRPr="00E717C4">
        <w:rPr>
          <w:rFonts w:eastAsia="CIDFont+F1" w:cs="Times New Roman"/>
          <w:szCs w:val="24"/>
        </w:rPr>
        <w:t xml:space="preserve"> chiral </w:t>
      </w:r>
      <w:proofErr w:type="spellStart"/>
      <w:r w:rsidRPr="00E717C4">
        <w:rPr>
          <w:rFonts w:eastAsia="CIDFont+F1" w:cs="Times New Roman"/>
          <w:szCs w:val="24"/>
        </w:rPr>
        <w:t>metasurface</w:t>
      </w:r>
      <w:proofErr w:type="spellEnd"/>
      <w:r w:rsidRPr="00E717C4">
        <w:rPr>
          <w:rFonts w:eastAsia="CIDFont+F1" w:cs="Times New Roman"/>
          <w:szCs w:val="24"/>
        </w:rPr>
        <w:t xml:space="preserve"> consisted of a gold back reflector, a 20-nm-thick SiO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 xml:space="preserve"> dielectric layer followed by a monolayer heterogeneous WS2 layer on which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we fabricated a gold spiral array. By optically pumping the </w:t>
      </w:r>
      <w:proofErr w:type="spellStart"/>
      <w:r w:rsidRPr="00E717C4">
        <w:rPr>
          <w:rFonts w:eastAsia="CIDFont+F1" w:cs="Times New Roman"/>
          <w:szCs w:val="24"/>
        </w:rPr>
        <w:t>plasmonic</w:t>
      </w:r>
      <w:proofErr w:type="spellEnd"/>
      <w:r w:rsidRPr="00E717C4">
        <w:rPr>
          <w:rFonts w:eastAsia="CIDFont+F1" w:cs="Times New Roman"/>
          <w:szCs w:val="24"/>
        </w:rPr>
        <w:t xml:space="preserve"> chiral </w:t>
      </w:r>
      <w:proofErr w:type="spellStart"/>
      <w:r w:rsidRPr="00E717C4">
        <w:rPr>
          <w:rFonts w:eastAsia="CIDFont+F1" w:cs="Times New Roman"/>
          <w:szCs w:val="24"/>
        </w:rPr>
        <w:t>metasurface</w:t>
      </w:r>
      <w:proofErr w:type="spellEnd"/>
      <w:r w:rsidRPr="00E717C4">
        <w:rPr>
          <w:rFonts w:eastAsia="CIDFont+F1" w:cs="Times New Roman"/>
          <w:szCs w:val="24"/>
        </w:rPr>
        <w:t xml:space="preserve">/WS2 </w:t>
      </w:r>
      <w:proofErr w:type="spellStart"/>
      <w:r w:rsidRPr="00E717C4">
        <w:rPr>
          <w:rFonts w:eastAsia="CIDFont+F1" w:cs="Times New Roman"/>
          <w:szCs w:val="24"/>
        </w:rPr>
        <w:t>heterostructure</w:t>
      </w:r>
      <w:proofErr w:type="spellEnd"/>
      <w:r w:rsidRPr="00E717C4">
        <w:rPr>
          <w:rFonts w:eastAsia="CIDFont+F1" w:cs="Times New Roman"/>
          <w:szCs w:val="24"/>
        </w:rPr>
        <w:t xml:space="preserve"> with CPL and measuring the resulting spatially resolved CP emission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(</w:t>
      </w:r>
      <w:proofErr w:type="spellStart"/>
      <w:r w:rsidRPr="00E717C4">
        <w:rPr>
          <w:rFonts w:eastAsia="CIDFont+F1" w:cs="Times New Roman"/>
          <w:szCs w:val="24"/>
        </w:rPr>
        <w:t>Pcirc</w:t>
      </w:r>
      <w:proofErr w:type="spellEnd"/>
      <w:r w:rsidRPr="00E717C4">
        <w:rPr>
          <w:rFonts w:eastAsia="CIDFont+F1" w:cs="Times New Roman"/>
          <w:szCs w:val="24"/>
        </w:rPr>
        <w:t>) at room temperature and low temperature (80K), we found the optical chirality of 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 xml:space="preserve"> was enhanced by more than 10 times relative to WS</w:t>
      </w:r>
      <w:r w:rsidRPr="00E717C4">
        <w:rPr>
          <w:rFonts w:eastAsia="CIDFont+F1" w:cs="Times New Roman"/>
          <w:szCs w:val="24"/>
          <w:vertAlign w:val="subscript"/>
        </w:rPr>
        <w:t>2</w:t>
      </w:r>
      <w:r w:rsidRPr="00E717C4">
        <w:rPr>
          <w:rFonts w:eastAsia="CIDFont+F1" w:cs="Times New Roman"/>
          <w:szCs w:val="24"/>
        </w:rPr>
        <w:t xml:space="preserve"> layers. Additionally, by proper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designs of the dimensions of the chiral </w:t>
      </w:r>
      <w:proofErr w:type="spellStart"/>
      <w:r w:rsidRPr="00E717C4">
        <w:rPr>
          <w:rFonts w:eastAsia="CIDFont+F1" w:cs="Times New Roman"/>
          <w:szCs w:val="24"/>
        </w:rPr>
        <w:t>metasurface</w:t>
      </w:r>
      <w:proofErr w:type="spellEnd"/>
      <w:r w:rsidRPr="00E717C4">
        <w:rPr>
          <w:rFonts w:eastAsia="CIDFont+F1" w:cs="Times New Roman"/>
          <w:szCs w:val="24"/>
        </w:rPr>
        <w:t xml:space="preserve"> structure, a linearly-polarized incident light can be converted to circularly-polarized light. These results suggest a new pathway</w:t>
      </w:r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 xml:space="preserve">of manipulating the valley-polarized PL emission in 2D materials via </w:t>
      </w:r>
      <w:proofErr w:type="spellStart"/>
      <w:r w:rsidRPr="00E717C4">
        <w:rPr>
          <w:rFonts w:eastAsia="CIDFont+F1" w:cs="Times New Roman"/>
          <w:szCs w:val="24"/>
        </w:rPr>
        <w:t>plasmonic</w:t>
      </w:r>
      <w:proofErr w:type="spellEnd"/>
      <w:r w:rsidRPr="00E717C4">
        <w:rPr>
          <w:rFonts w:eastAsia="CIDFont+F1" w:cs="Times New Roman"/>
          <w:szCs w:val="24"/>
        </w:rPr>
        <w:t xml:space="preserve"> chiral </w:t>
      </w:r>
      <w:proofErr w:type="spellStart"/>
      <w:r w:rsidRPr="00E717C4">
        <w:rPr>
          <w:rFonts w:eastAsia="CIDFont+F1" w:cs="Times New Roman"/>
          <w:szCs w:val="24"/>
        </w:rPr>
        <w:t>metasurfaces</w:t>
      </w:r>
      <w:proofErr w:type="spellEnd"/>
      <w:r w:rsidRPr="00E717C4">
        <w:rPr>
          <w:rFonts w:eastAsia="CIDFont+F1" w:cs="Times New Roman"/>
          <w:szCs w:val="24"/>
        </w:rPr>
        <w:t>, which may be further applied to the development of valley-</w:t>
      </w:r>
      <w:proofErr w:type="spellStart"/>
      <w:r w:rsidRPr="00E717C4">
        <w:rPr>
          <w:rFonts w:eastAsia="CIDFont+F1" w:cs="Times New Roman"/>
          <w:szCs w:val="24"/>
        </w:rPr>
        <w:t>polariton</w:t>
      </w:r>
      <w:proofErr w:type="spellEnd"/>
      <w:r>
        <w:rPr>
          <w:rFonts w:eastAsia="CIDFont+F1" w:cs="Times New Roman"/>
          <w:szCs w:val="24"/>
        </w:rPr>
        <w:t xml:space="preserve"> </w:t>
      </w:r>
      <w:r w:rsidRPr="00E717C4">
        <w:rPr>
          <w:rFonts w:eastAsia="CIDFont+F1" w:cs="Times New Roman"/>
          <w:szCs w:val="24"/>
        </w:rPr>
        <w:t>optoelectronic devices.</w:t>
      </w:r>
    </w:p>
    <w:sectPr w:rsidR="000C7741" w:rsidRPr="00E7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4"/>
    <w:rsid w:val="000400AE"/>
    <w:rsid w:val="00827145"/>
    <w:rsid w:val="00A134E6"/>
    <w:rsid w:val="00A652B3"/>
    <w:rsid w:val="00E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88C9"/>
  <w15:chartTrackingRefBased/>
  <w15:docId w15:val="{3FEF3844-B3A2-468F-9405-7E74853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E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1</cp:revision>
  <dcterms:created xsi:type="dcterms:W3CDTF">2019-10-03T18:48:00Z</dcterms:created>
  <dcterms:modified xsi:type="dcterms:W3CDTF">2019-10-03T18:54:00Z</dcterms:modified>
</cp:coreProperties>
</file>